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19" w:type="dxa"/>
          <w:left w:w="70" w:type="dxa"/>
          <w:right w:w="0" w:type="dxa"/>
        </w:tblCellMar>
        <w:tblLook w:val="04A0" w:firstRow="1" w:lastRow="0" w:firstColumn="1" w:lastColumn="0" w:noHBand="0" w:noVBand="1"/>
      </w:tblPr>
      <w:tblGrid>
        <w:gridCol w:w="365"/>
        <w:gridCol w:w="1415"/>
        <w:gridCol w:w="427"/>
        <w:gridCol w:w="4158"/>
        <w:gridCol w:w="1931"/>
      </w:tblGrid>
      <w:tr w:rsidR="00C4212D" w:rsidTr="00C4212D">
        <w:trPr>
          <w:trHeight w:val="722"/>
        </w:trPr>
        <w:tc>
          <w:tcPr>
            <w:tcW w:w="231"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jc w:val="center"/>
              <w:rPr>
                <w:rFonts w:hAnsi="宋体"/>
                <w:b/>
                <w:bCs/>
                <w:sz w:val="21"/>
                <w:szCs w:val="21"/>
              </w:rPr>
            </w:pPr>
            <w:r>
              <w:rPr>
                <w:rFonts w:hAnsi="宋体" w:hint="eastAsia"/>
                <w:b/>
                <w:bCs/>
                <w:sz w:val="21"/>
                <w:szCs w:val="21"/>
              </w:rPr>
              <w:t>序号</w:t>
            </w:r>
          </w:p>
        </w:tc>
        <w:tc>
          <w:tcPr>
            <w:tcW w:w="863"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left="168" w:right="157"/>
              <w:jc w:val="center"/>
              <w:rPr>
                <w:rFonts w:hAnsi="宋体" w:hint="eastAsia"/>
                <w:b/>
                <w:bCs/>
                <w:sz w:val="21"/>
                <w:szCs w:val="21"/>
              </w:rPr>
            </w:pPr>
            <w:r>
              <w:rPr>
                <w:rFonts w:hAnsi="宋体" w:hint="eastAsia"/>
                <w:b/>
                <w:bCs/>
                <w:sz w:val="21"/>
                <w:szCs w:val="21"/>
              </w:rPr>
              <w:t>评分因素及权重</w:t>
            </w:r>
          </w:p>
        </w:tc>
        <w:tc>
          <w:tcPr>
            <w:tcW w:w="216"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left="133" w:firstLine="13"/>
              <w:jc w:val="center"/>
              <w:rPr>
                <w:rFonts w:hAnsi="宋体" w:hint="eastAsia"/>
                <w:b/>
                <w:bCs/>
                <w:sz w:val="21"/>
                <w:szCs w:val="21"/>
              </w:rPr>
            </w:pPr>
            <w:r>
              <w:rPr>
                <w:rFonts w:hAnsi="宋体" w:hint="eastAsia"/>
                <w:b/>
                <w:bCs/>
                <w:sz w:val="21"/>
                <w:szCs w:val="21"/>
              </w:rPr>
              <w:t>分值</w:t>
            </w:r>
          </w:p>
        </w:tc>
        <w:tc>
          <w:tcPr>
            <w:tcW w:w="2516"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right="109"/>
              <w:jc w:val="center"/>
              <w:rPr>
                <w:rFonts w:hAnsi="宋体" w:hint="eastAsia"/>
                <w:b/>
                <w:bCs/>
                <w:sz w:val="21"/>
                <w:szCs w:val="21"/>
              </w:rPr>
            </w:pPr>
            <w:r>
              <w:rPr>
                <w:rFonts w:hAnsi="宋体" w:hint="eastAsia"/>
                <w:b/>
                <w:bCs/>
                <w:sz w:val="21"/>
                <w:szCs w:val="21"/>
              </w:rPr>
              <w:t>评分标准</w:t>
            </w:r>
          </w:p>
        </w:tc>
        <w:tc>
          <w:tcPr>
            <w:tcW w:w="1174" w:type="pct"/>
            <w:tcBorders>
              <w:top w:val="single" w:sz="4" w:space="0" w:color="000000"/>
              <w:left w:val="single" w:sz="4" w:space="0" w:color="000000"/>
              <w:bottom w:val="single" w:sz="4" w:space="0" w:color="auto"/>
              <w:right w:val="single" w:sz="4" w:space="0" w:color="000000"/>
            </w:tcBorders>
            <w:vAlign w:val="center"/>
            <w:hideMark/>
          </w:tcPr>
          <w:p w:rsidR="00C4212D" w:rsidRDefault="00C4212D">
            <w:pPr>
              <w:widowControl/>
              <w:ind w:right="136"/>
              <w:jc w:val="center"/>
              <w:rPr>
                <w:rFonts w:hAnsi="宋体" w:hint="eastAsia"/>
                <w:b/>
                <w:bCs/>
                <w:sz w:val="21"/>
                <w:szCs w:val="21"/>
              </w:rPr>
            </w:pPr>
            <w:r>
              <w:rPr>
                <w:rFonts w:hAnsi="宋体" w:hint="eastAsia"/>
                <w:b/>
                <w:bCs/>
                <w:sz w:val="21"/>
                <w:szCs w:val="21"/>
              </w:rPr>
              <w:t>说    明</w:t>
            </w:r>
          </w:p>
        </w:tc>
      </w:tr>
      <w:tr w:rsidR="00C4212D" w:rsidTr="00C4212D">
        <w:trPr>
          <w:trHeight w:val="428"/>
        </w:trPr>
        <w:tc>
          <w:tcPr>
            <w:tcW w:w="231" w:type="pct"/>
            <w:vMerge w:val="restar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right="43"/>
              <w:jc w:val="center"/>
              <w:rPr>
                <w:rFonts w:hAnsi="宋体" w:hint="eastAsia"/>
                <w:sz w:val="21"/>
                <w:szCs w:val="21"/>
              </w:rPr>
            </w:pPr>
            <w:r>
              <w:rPr>
                <w:rFonts w:hAnsi="宋体" w:hint="eastAsia"/>
                <w:sz w:val="21"/>
                <w:szCs w:val="21"/>
              </w:rPr>
              <w:t>1</w:t>
            </w:r>
          </w:p>
        </w:tc>
        <w:tc>
          <w:tcPr>
            <w:tcW w:w="863" w:type="pct"/>
            <w:vMerge w:val="restar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right="43"/>
              <w:jc w:val="center"/>
              <w:rPr>
                <w:rFonts w:hAnsi="宋体" w:hint="eastAsia"/>
                <w:sz w:val="21"/>
                <w:szCs w:val="21"/>
              </w:rPr>
            </w:pPr>
            <w:r>
              <w:rPr>
                <w:rFonts w:hAnsi="宋体" w:hint="eastAsia"/>
                <w:sz w:val="21"/>
                <w:szCs w:val="21"/>
              </w:rPr>
              <w:t>报价 30%</w:t>
            </w:r>
          </w:p>
        </w:tc>
        <w:tc>
          <w:tcPr>
            <w:tcW w:w="216" w:type="pct"/>
            <w:vMerge w:val="restar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jc w:val="center"/>
              <w:rPr>
                <w:rFonts w:hAnsi="宋体" w:hint="eastAsia"/>
                <w:sz w:val="21"/>
                <w:szCs w:val="21"/>
              </w:rPr>
            </w:pPr>
            <w:r>
              <w:rPr>
                <w:rFonts w:hAnsi="宋体" w:hint="eastAsia"/>
                <w:sz w:val="21"/>
                <w:szCs w:val="21"/>
              </w:rPr>
              <w:t>30</w:t>
            </w:r>
          </w:p>
        </w:tc>
        <w:tc>
          <w:tcPr>
            <w:tcW w:w="2516" w:type="pct"/>
            <w:tcBorders>
              <w:top w:val="single" w:sz="4" w:space="0" w:color="000000"/>
              <w:left w:val="single" w:sz="4" w:space="0" w:color="000000"/>
              <w:bottom w:val="single" w:sz="4" w:space="0" w:color="000000"/>
              <w:right w:val="single" w:sz="4" w:space="0" w:color="auto"/>
            </w:tcBorders>
            <w:vAlign w:val="center"/>
            <w:hideMark/>
          </w:tcPr>
          <w:p w:rsidR="00C4212D" w:rsidRDefault="00C4212D">
            <w:pPr>
              <w:widowControl/>
              <w:ind w:left="38"/>
              <w:rPr>
                <w:rFonts w:hAnsi="宋体" w:hint="eastAsia"/>
                <w:sz w:val="21"/>
                <w:szCs w:val="21"/>
              </w:rPr>
            </w:pPr>
            <w:r>
              <w:rPr>
                <w:rFonts w:hAnsi="宋体" w:hint="eastAsia"/>
                <w:sz w:val="21"/>
                <w:szCs w:val="21"/>
              </w:rPr>
              <w:t>不带专用试剂或耗材仪器评分标准：</w:t>
            </w:r>
          </w:p>
          <w:p w:rsidR="00C4212D" w:rsidRDefault="00C4212D">
            <w:pPr>
              <w:widowControl/>
              <w:ind w:left="38"/>
              <w:rPr>
                <w:rFonts w:hAnsi="宋体" w:hint="eastAsia"/>
                <w:sz w:val="21"/>
                <w:szCs w:val="21"/>
              </w:rPr>
            </w:pPr>
            <w:r>
              <w:rPr>
                <w:rFonts w:hAnsi="宋体" w:hint="eastAsia"/>
                <w:sz w:val="21"/>
                <w:szCs w:val="21"/>
              </w:rPr>
              <w:t>1、以满足招标文件要求且投标价格最低的投标报价为基准价，投标报价得分=(基准价／投标报价)×30（保留两位小数）</w:t>
            </w:r>
          </w:p>
        </w:tc>
        <w:tc>
          <w:tcPr>
            <w:tcW w:w="1174" w:type="pct"/>
            <w:tcBorders>
              <w:top w:val="single" w:sz="4" w:space="0" w:color="auto"/>
              <w:left w:val="single" w:sz="4" w:space="0" w:color="auto"/>
              <w:bottom w:val="single" w:sz="4" w:space="0" w:color="auto"/>
              <w:right w:val="single" w:sz="4" w:space="0" w:color="auto"/>
            </w:tcBorders>
            <w:vAlign w:val="center"/>
          </w:tcPr>
          <w:p w:rsidR="00C4212D" w:rsidRDefault="00C4212D">
            <w:pPr>
              <w:widowControl/>
              <w:jc w:val="center"/>
              <w:rPr>
                <w:rFonts w:hAnsi="宋体" w:hint="eastAsia"/>
                <w:sz w:val="21"/>
                <w:szCs w:val="21"/>
              </w:rPr>
            </w:pPr>
          </w:p>
        </w:tc>
      </w:tr>
      <w:tr w:rsidR="00C4212D" w:rsidTr="00C4212D">
        <w:trPr>
          <w:trHeight w:val="4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jc w:val="left"/>
              <w:rPr>
                <w:rFonts w:hAnsi="宋体"/>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jc w:val="left"/>
              <w:rPr>
                <w:rFonts w:hAnsi="宋体"/>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jc w:val="left"/>
              <w:rPr>
                <w:rFonts w:hAnsi="宋体"/>
                <w:sz w:val="21"/>
                <w:szCs w:val="21"/>
              </w:rPr>
            </w:pPr>
          </w:p>
        </w:tc>
        <w:tc>
          <w:tcPr>
            <w:tcW w:w="2516" w:type="pct"/>
            <w:tcBorders>
              <w:top w:val="single" w:sz="4" w:space="0" w:color="000000"/>
              <w:left w:val="single" w:sz="4" w:space="0" w:color="000000"/>
              <w:bottom w:val="single" w:sz="4" w:space="0" w:color="000000"/>
              <w:right w:val="single" w:sz="4" w:space="0" w:color="auto"/>
            </w:tcBorders>
            <w:vAlign w:val="center"/>
            <w:hideMark/>
          </w:tcPr>
          <w:p w:rsidR="00C4212D" w:rsidRDefault="00C4212D">
            <w:pPr>
              <w:widowControl/>
              <w:ind w:left="38"/>
              <w:rPr>
                <w:rFonts w:hAnsi="宋体" w:hint="eastAsia"/>
                <w:sz w:val="21"/>
                <w:szCs w:val="21"/>
              </w:rPr>
            </w:pPr>
            <w:r>
              <w:rPr>
                <w:rFonts w:hAnsi="宋体" w:hint="eastAsia"/>
                <w:sz w:val="21"/>
                <w:szCs w:val="21"/>
              </w:rPr>
              <w:t>带专用试剂或耗材仪器评分标准：</w:t>
            </w:r>
          </w:p>
          <w:p w:rsidR="00C4212D" w:rsidRDefault="00C4212D">
            <w:pPr>
              <w:widowControl/>
              <w:ind w:left="38"/>
              <w:rPr>
                <w:rFonts w:hAnsi="宋体" w:hint="eastAsia"/>
                <w:sz w:val="21"/>
                <w:szCs w:val="21"/>
              </w:rPr>
            </w:pPr>
            <w:r>
              <w:rPr>
                <w:rFonts w:hAnsi="宋体" w:hint="eastAsia"/>
                <w:sz w:val="21"/>
                <w:szCs w:val="21"/>
              </w:rPr>
              <w:t>1、机器以满足招标文件要求且投标价格最低的投标报价为基准价，投标报价得分=(基准价／投标报价)×15（保留两位小数）</w:t>
            </w:r>
          </w:p>
          <w:p w:rsidR="00C4212D" w:rsidRDefault="00C4212D">
            <w:pPr>
              <w:widowControl/>
              <w:ind w:left="38"/>
              <w:rPr>
                <w:rFonts w:hAnsi="宋体" w:hint="eastAsia"/>
                <w:sz w:val="21"/>
                <w:szCs w:val="21"/>
              </w:rPr>
            </w:pPr>
            <w:r>
              <w:rPr>
                <w:rFonts w:hAnsi="宋体" w:hint="eastAsia"/>
                <w:sz w:val="21"/>
                <w:szCs w:val="21"/>
              </w:rPr>
              <w:t>2、试剂或耗材以满足招标文件要求且投标价格最低的投标报价为基准价，投标报价得分=(基准价／投标报价)×15（保留两位小数）</w:t>
            </w:r>
          </w:p>
        </w:tc>
        <w:tc>
          <w:tcPr>
            <w:tcW w:w="1174" w:type="pct"/>
            <w:tcBorders>
              <w:top w:val="single" w:sz="4" w:space="0" w:color="auto"/>
              <w:left w:val="single" w:sz="4" w:space="0" w:color="auto"/>
              <w:bottom w:val="single" w:sz="4" w:space="0" w:color="auto"/>
              <w:right w:val="single" w:sz="4" w:space="0" w:color="auto"/>
            </w:tcBorders>
            <w:vAlign w:val="center"/>
          </w:tcPr>
          <w:p w:rsidR="00C4212D" w:rsidRDefault="00C4212D">
            <w:pPr>
              <w:widowControl/>
              <w:ind w:left="38"/>
              <w:rPr>
                <w:rFonts w:hAnsi="宋体" w:hint="eastAsia"/>
                <w:sz w:val="21"/>
                <w:szCs w:val="21"/>
              </w:rPr>
            </w:pPr>
          </w:p>
          <w:p w:rsidR="00C4212D" w:rsidRDefault="00C4212D">
            <w:pPr>
              <w:widowControl/>
              <w:jc w:val="center"/>
              <w:rPr>
                <w:rFonts w:hAnsi="宋体" w:hint="eastAsia"/>
                <w:sz w:val="21"/>
                <w:szCs w:val="21"/>
              </w:rPr>
            </w:pPr>
            <w:r>
              <w:rPr>
                <w:rFonts w:hAnsi="宋体" w:hint="eastAsia"/>
                <w:sz w:val="21"/>
                <w:szCs w:val="21"/>
              </w:rPr>
              <w:t>试剂或耗材报价报单人份专用试剂或耗材价格</w:t>
            </w:r>
          </w:p>
        </w:tc>
      </w:tr>
      <w:tr w:rsidR="00C4212D" w:rsidTr="00C4212D">
        <w:trPr>
          <w:trHeight w:val="1504"/>
        </w:trPr>
        <w:tc>
          <w:tcPr>
            <w:tcW w:w="231"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right="43"/>
              <w:jc w:val="center"/>
              <w:rPr>
                <w:rFonts w:hAnsi="宋体" w:hint="eastAsia"/>
                <w:sz w:val="21"/>
                <w:szCs w:val="21"/>
              </w:rPr>
            </w:pPr>
            <w:r>
              <w:rPr>
                <w:rFonts w:hAnsi="宋体" w:hint="eastAsia"/>
                <w:sz w:val="21"/>
                <w:szCs w:val="21"/>
              </w:rPr>
              <w:t>2</w:t>
            </w:r>
          </w:p>
        </w:tc>
        <w:tc>
          <w:tcPr>
            <w:tcW w:w="863"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left="258"/>
              <w:jc w:val="center"/>
              <w:rPr>
                <w:rFonts w:hAnsi="宋体" w:hint="eastAsia"/>
                <w:sz w:val="21"/>
                <w:szCs w:val="21"/>
              </w:rPr>
            </w:pPr>
            <w:r>
              <w:rPr>
                <w:rFonts w:hAnsi="宋体" w:hint="eastAsia"/>
                <w:sz w:val="21"/>
                <w:szCs w:val="21"/>
              </w:rPr>
              <w:t>技术指标和配置30%</w:t>
            </w:r>
          </w:p>
        </w:tc>
        <w:tc>
          <w:tcPr>
            <w:tcW w:w="216"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left="66"/>
              <w:jc w:val="center"/>
              <w:rPr>
                <w:rFonts w:hAnsi="宋体" w:hint="eastAsia"/>
                <w:sz w:val="21"/>
                <w:szCs w:val="21"/>
              </w:rPr>
            </w:pPr>
            <w:r>
              <w:rPr>
                <w:rFonts w:hAnsi="宋体" w:hint="eastAsia"/>
                <w:sz w:val="21"/>
                <w:szCs w:val="21"/>
              </w:rPr>
              <w:t>30</w:t>
            </w:r>
          </w:p>
        </w:tc>
        <w:tc>
          <w:tcPr>
            <w:tcW w:w="2516"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left="38" w:right="89"/>
              <w:rPr>
                <w:rFonts w:hAnsi="宋体" w:hint="eastAsia"/>
                <w:color w:val="FF0000"/>
                <w:sz w:val="21"/>
                <w:szCs w:val="21"/>
              </w:rPr>
            </w:pPr>
            <w:r>
              <w:rPr>
                <w:rFonts w:hAnsi="宋体" w:hint="eastAsia"/>
                <w:color w:val="FF0000"/>
                <w:sz w:val="21"/>
                <w:szCs w:val="21"/>
              </w:rPr>
              <w:t>完全符合招标文件要求没有负偏离得30分；与招标文件要求有非实质性负偏离的，一项扣 4分，带*号的重要参数不满足的，一项扣6分， 最多扣30分。</w:t>
            </w:r>
          </w:p>
          <w:p w:rsidR="00C4212D" w:rsidRDefault="00C4212D">
            <w:pPr>
              <w:widowControl/>
              <w:ind w:left="38" w:right="89"/>
              <w:rPr>
                <w:rFonts w:hAnsi="宋体" w:hint="eastAsia"/>
                <w:sz w:val="21"/>
                <w:szCs w:val="21"/>
              </w:rPr>
            </w:pPr>
            <w:r>
              <w:rPr>
                <w:rFonts w:hAnsi="宋体" w:hint="eastAsia"/>
                <w:color w:val="FF0000"/>
                <w:sz w:val="21"/>
                <w:szCs w:val="21"/>
              </w:rPr>
              <w:t>注：提供相关证明材料。</w:t>
            </w:r>
          </w:p>
        </w:tc>
        <w:tc>
          <w:tcPr>
            <w:tcW w:w="1174" w:type="pct"/>
            <w:tcBorders>
              <w:top w:val="single" w:sz="4" w:space="0" w:color="auto"/>
              <w:left w:val="single" w:sz="4" w:space="0" w:color="000000"/>
              <w:bottom w:val="single" w:sz="4" w:space="0" w:color="000000"/>
              <w:right w:val="single" w:sz="4" w:space="0" w:color="000000"/>
            </w:tcBorders>
            <w:vAlign w:val="center"/>
            <w:hideMark/>
          </w:tcPr>
          <w:p w:rsidR="00C4212D" w:rsidRDefault="00C4212D">
            <w:pPr>
              <w:widowControl/>
              <w:ind w:left="38"/>
              <w:jc w:val="center"/>
              <w:rPr>
                <w:rFonts w:hAnsi="宋体" w:hint="eastAsia"/>
                <w:sz w:val="21"/>
                <w:szCs w:val="21"/>
              </w:rPr>
            </w:pPr>
            <w:r>
              <w:rPr>
                <w:rFonts w:hAnsi="宋体" w:hint="eastAsia"/>
                <w:sz w:val="21"/>
                <w:szCs w:val="21"/>
              </w:rPr>
              <w:t>注：加“*”为重要参数，供应商提供的货物若与响应参数不符则为虚假应标，所送达目的地货物不予验收，</w:t>
            </w:r>
            <w:proofErr w:type="gramStart"/>
            <w:r>
              <w:rPr>
                <w:rFonts w:hAnsi="宋体" w:hint="eastAsia"/>
                <w:sz w:val="21"/>
                <w:szCs w:val="21"/>
              </w:rPr>
              <w:t>不予付款</w:t>
            </w:r>
            <w:proofErr w:type="gramEnd"/>
            <w:r>
              <w:rPr>
                <w:rFonts w:hAnsi="宋体" w:hint="eastAsia"/>
                <w:sz w:val="21"/>
                <w:szCs w:val="21"/>
              </w:rPr>
              <w:t>。</w:t>
            </w:r>
          </w:p>
        </w:tc>
      </w:tr>
      <w:tr w:rsidR="00C4212D" w:rsidTr="00C4212D">
        <w:trPr>
          <w:trHeight w:val="659"/>
        </w:trPr>
        <w:tc>
          <w:tcPr>
            <w:tcW w:w="231"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right="43"/>
              <w:jc w:val="center"/>
              <w:rPr>
                <w:rFonts w:hAnsi="宋体" w:hint="eastAsia"/>
                <w:sz w:val="21"/>
                <w:szCs w:val="21"/>
              </w:rPr>
            </w:pPr>
            <w:r>
              <w:rPr>
                <w:rFonts w:hAnsi="宋体" w:hint="eastAsia"/>
                <w:sz w:val="21"/>
                <w:szCs w:val="21"/>
              </w:rPr>
              <w:t>3</w:t>
            </w:r>
          </w:p>
        </w:tc>
        <w:tc>
          <w:tcPr>
            <w:tcW w:w="863"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left="258"/>
              <w:jc w:val="center"/>
              <w:rPr>
                <w:rFonts w:hAnsi="宋体" w:hint="eastAsia"/>
                <w:sz w:val="21"/>
                <w:szCs w:val="21"/>
              </w:rPr>
            </w:pPr>
            <w:r>
              <w:rPr>
                <w:rFonts w:hAnsi="宋体" w:hint="eastAsia"/>
                <w:sz w:val="21"/>
                <w:szCs w:val="21"/>
              </w:rPr>
              <w:t>设备管理信息系统接口5%</w:t>
            </w:r>
          </w:p>
        </w:tc>
        <w:tc>
          <w:tcPr>
            <w:tcW w:w="216"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left="66"/>
              <w:jc w:val="center"/>
              <w:rPr>
                <w:rFonts w:hAnsi="宋体" w:hint="eastAsia"/>
                <w:sz w:val="21"/>
                <w:szCs w:val="21"/>
              </w:rPr>
            </w:pPr>
            <w:r>
              <w:rPr>
                <w:rFonts w:hAnsi="宋体" w:hint="eastAsia"/>
                <w:sz w:val="21"/>
                <w:szCs w:val="21"/>
              </w:rPr>
              <w:t>5</w:t>
            </w:r>
          </w:p>
        </w:tc>
        <w:tc>
          <w:tcPr>
            <w:tcW w:w="2516"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left="38" w:right="89"/>
              <w:rPr>
                <w:rFonts w:hAnsi="宋体" w:hint="eastAsia"/>
                <w:sz w:val="21"/>
                <w:szCs w:val="21"/>
              </w:rPr>
            </w:pPr>
            <w:r>
              <w:rPr>
                <w:rFonts w:hAnsi="宋体" w:hint="eastAsia"/>
                <w:sz w:val="21"/>
                <w:szCs w:val="21"/>
              </w:rPr>
              <w:t>设备有运行日志,可查询,无偿开放接口并向设备管理系统提供接入服务</w:t>
            </w:r>
          </w:p>
        </w:tc>
        <w:tc>
          <w:tcPr>
            <w:tcW w:w="1174" w:type="pct"/>
            <w:tcBorders>
              <w:top w:val="single" w:sz="4" w:space="0" w:color="000000"/>
              <w:left w:val="single" w:sz="4" w:space="0" w:color="000000"/>
              <w:bottom w:val="single" w:sz="4" w:space="0" w:color="000000"/>
              <w:right w:val="single" w:sz="4" w:space="0" w:color="000000"/>
            </w:tcBorders>
            <w:vAlign w:val="center"/>
          </w:tcPr>
          <w:p w:rsidR="00C4212D" w:rsidRDefault="00C4212D">
            <w:pPr>
              <w:widowControl/>
              <w:ind w:left="38"/>
              <w:jc w:val="center"/>
              <w:rPr>
                <w:rFonts w:hAnsi="宋体" w:hint="eastAsia"/>
                <w:sz w:val="21"/>
                <w:szCs w:val="21"/>
              </w:rPr>
            </w:pPr>
          </w:p>
        </w:tc>
      </w:tr>
      <w:tr w:rsidR="00C4212D" w:rsidTr="00C4212D">
        <w:trPr>
          <w:trHeight w:val="1096"/>
        </w:trPr>
        <w:tc>
          <w:tcPr>
            <w:tcW w:w="231"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right="43"/>
              <w:jc w:val="center"/>
              <w:rPr>
                <w:rFonts w:hAnsi="宋体" w:hint="eastAsia"/>
                <w:sz w:val="21"/>
                <w:szCs w:val="21"/>
              </w:rPr>
            </w:pPr>
            <w:r>
              <w:rPr>
                <w:rFonts w:hAnsi="宋体" w:hint="eastAsia"/>
                <w:sz w:val="21"/>
                <w:szCs w:val="21"/>
              </w:rPr>
              <w:t>4</w:t>
            </w:r>
          </w:p>
        </w:tc>
        <w:tc>
          <w:tcPr>
            <w:tcW w:w="863"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right="43"/>
              <w:jc w:val="center"/>
              <w:rPr>
                <w:rFonts w:hAnsi="宋体" w:hint="eastAsia"/>
                <w:sz w:val="21"/>
                <w:szCs w:val="21"/>
              </w:rPr>
            </w:pPr>
            <w:r>
              <w:rPr>
                <w:rFonts w:hAnsi="宋体" w:hint="eastAsia"/>
                <w:sz w:val="21"/>
                <w:szCs w:val="21"/>
              </w:rPr>
              <w:t>信誉10%</w:t>
            </w:r>
          </w:p>
        </w:tc>
        <w:tc>
          <w:tcPr>
            <w:tcW w:w="216"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right="43"/>
              <w:jc w:val="center"/>
              <w:rPr>
                <w:rFonts w:hAnsi="宋体" w:hint="eastAsia"/>
                <w:sz w:val="21"/>
                <w:szCs w:val="21"/>
              </w:rPr>
            </w:pPr>
            <w:r>
              <w:rPr>
                <w:rFonts w:hAnsi="宋体" w:hint="eastAsia"/>
                <w:sz w:val="21"/>
                <w:szCs w:val="21"/>
              </w:rPr>
              <w:t>10</w:t>
            </w:r>
          </w:p>
        </w:tc>
        <w:tc>
          <w:tcPr>
            <w:tcW w:w="2516"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left="38"/>
              <w:rPr>
                <w:rFonts w:hAnsi="宋体" w:hint="eastAsia"/>
                <w:sz w:val="21"/>
                <w:szCs w:val="21"/>
              </w:rPr>
            </w:pPr>
            <w:r>
              <w:rPr>
                <w:rFonts w:hAnsi="宋体" w:hint="eastAsia"/>
                <w:sz w:val="21"/>
                <w:szCs w:val="21"/>
              </w:rPr>
              <w:t>制造厂家获得 ISO9001 质量管理体系认证得2分；</w:t>
            </w:r>
          </w:p>
          <w:p w:rsidR="00C4212D" w:rsidRDefault="00C4212D">
            <w:pPr>
              <w:widowControl/>
              <w:ind w:left="38"/>
              <w:rPr>
                <w:rFonts w:hAnsi="宋体" w:hint="eastAsia"/>
                <w:sz w:val="21"/>
                <w:szCs w:val="21"/>
              </w:rPr>
            </w:pPr>
            <w:r>
              <w:rPr>
                <w:rFonts w:hAnsi="宋体" w:hint="eastAsia"/>
                <w:sz w:val="21"/>
                <w:szCs w:val="21"/>
              </w:rPr>
              <w:t>制造厂家获得ISO14001环保认证得2分。</w:t>
            </w:r>
          </w:p>
          <w:p w:rsidR="00C4212D" w:rsidRDefault="00C4212D">
            <w:pPr>
              <w:pStyle w:val="5"/>
              <w:numPr>
                <w:ilvl w:val="0"/>
                <w:numId w:val="0"/>
              </w:numPr>
              <w:spacing w:before="0" w:after="0" w:line="240" w:lineRule="auto"/>
              <w:jc w:val="both"/>
              <w:rPr>
                <w:rFonts w:ascii="宋体" w:eastAsia="宋体" w:hAnsi="宋体" w:cs="宋体" w:hint="eastAsia"/>
                <w:b w:val="0"/>
                <w:sz w:val="21"/>
                <w:szCs w:val="21"/>
              </w:rPr>
            </w:pPr>
            <w:r>
              <w:rPr>
                <w:rFonts w:ascii="宋体" w:eastAsia="宋体" w:hAnsi="宋体" w:cs="宋体" w:hint="eastAsia"/>
                <w:b w:val="0"/>
                <w:sz w:val="21"/>
                <w:szCs w:val="21"/>
              </w:rPr>
              <w:t>制造厂家获得ISO13485认证得 2分。</w:t>
            </w:r>
          </w:p>
          <w:p w:rsidR="00C4212D" w:rsidRDefault="00C4212D">
            <w:pPr>
              <w:widowControl/>
              <w:ind w:left="38"/>
              <w:rPr>
                <w:rFonts w:hAnsi="宋体" w:hint="eastAsia"/>
                <w:sz w:val="21"/>
                <w:szCs w:val="21"/>
              </w:rPr>
            </w:pPr>
            <w:r>
              <w:rPr>
                <w:rFonts w:hAnsi="宋体" w:hint="eastAsia"/>
                <w:sz w:val="21"/>
                <w:szCs w:val="21"/>
              </w:rPr>
              <w:t>供应商获得 ISO9001 质量管理体系认证得2 分；</w:t>
            </w:r>
          </w:p>
          <w:p w:rsidR="00C4212D" w:rsidRDefault="00C4212D">
            <w:pPr>
              <w:widowControl/>
              <w:ind w:left="38"/>
              <w:rPr>
                <w:rFonts w:hint="eastAsia"/>
              </w:rPr>
            </w:pPr>
            <w:r>
              <w:rPr>
                <w:rFonts w:hAnsi="宋体" w:hint="eastAsia"/>
                <w:sz w:val="21"/>
                <w:szCs w:val="21"/>
              </w:rPr>
              <w:t>供应商获得ISO14001环保认证得 2分。</w:t>
            </w:r>
          </w:p>
        </w:tc>
        <w:tc>
          <w:tcPr>
            <w:tcW w:w="1174"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jc w:val="center"/>
              <w:rPr>
                <w:rFonts w:hAnsi="宋体" w:hint="eastAsia"/>
                <w:sz w:val="21"/>
                <w:szCs w:val="21"/>
              </w:rPr>
            </w:pPr>
            <w:r>
              <w:rPr>
                <w:rFonts w:hAnsi="宋体" w:hint="eastAsia"/>
                <w:sz w:val="21"/>
                <w:szCs w:val="21"/>
              </w:rPr>
              <w:t>以国家行业管理机构有效证书为准</w:t>
            </w:r>
          </w:p>
        </w:tc>
      </w:tr>
      <w:tr w:rsidR="00C4212D" w:rsidTr="00C4212D">
        <w:trPr>
          <w:trHeight w:val="591"/>
        </w:trPr>
        <w:tc>
          <w:tcPr>
            <w:tcW w:w="231"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right="43"/>
              <w:jc w:val="center"/>
              <w:rPr>
                <w:rFonts w:hAnsi="宋体" w:hint="eastAsia"/>
                <w:sz w:val="21"/>
                <w:szCs w:val="21"/>
              </w:rPr>
            </w:pPr>
            <w:r>
              <w:rPr>
                <w:rFonts w:hAnsi="宋体" w:hint="eastAsia"/>
                <w:sz w:val="21"/>
                <w:szCs w:val="21"/>
              </w:rPr>
              <w:t>5</w:t>
            </w:r>
          </w:p>
        </w:tc>
        <w:tc>
          <w:tcPr>
            <w:tcW w:w="863"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right="86"/>
              <w:jc w:val="center"/>
              <w:rPr>
                <w:rFonts w:hAnsi="宋体" w:hint="eastAsia"/>
                <w:sz w:val="21"/>
                <w:szCs w:val="21"/>
              </w:rPr>
            </w:pPr>
            <w:r>
              <w:rPr>
                <w:rFonts w:hAnsi="宋体" w:hint="eastAsia"/>
                <w:sz w:val="21"/>
                <w:szCs w:val="21"/>
              </w:rPr>
              <w:t>业绩10%</w:t>
            </w:r>
          </w:p>
        </w:tc>
        <w:tc>
          <w:tcPr>
            <w:tcW w:w="216"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right="43"/>
              <w:jc w:val="center"/>
              <w:rPr>
                <w:rFonts w:hAnsi="宋体" w:hint="eastAsia"/>
                <w:sz w:val="21"/>
                <w:szCs w:val="21"/>
              </w:rPr>
            </w:pPr>
            <w:r>
              <w:rPr>
                <w:rFonts w:hAnsi="宋体" w:hint="eastAsia"/>
                <w:sz w:val="21"/>
                <w:szCs w:val="21"/>
              </w:rPr>
              <w:t>10</w:t>
            </w:r>
          </w:p>
        </w:tc>
        <w:tc>
          <w:tcPr>
            <w:tcW w:w="2516" w:type="pct"/>
            <w:tcBorders>
              <w:top w:val="single" w:sz="4" w:space="0" w:color="000000"/>
              <w:left w:val="single" w:sz="4" w:space="0" w:color="000000"/>
              <w:bottom w:val="single" w:sz="4" w:space="0" w:color="000000"/>
              <w:right w:val="single" w:sz="4" w:space="0" w:color="000000"/>
            </w:tcBorders>
            <w:vAlign w:val="center"/>
            <w:hideMark/>
          </w:tcPr>
          <w:p w:rsidR="00C4212D" w:rsidRDefault="00C4212D">
            <w:pPr>
              <w:widowControl/>
              <w:ind w:left="38" w:firstLine="28"/>
              <w:rPr>
                <w:rFonts w:hAnsi="宋体" w:hint="eastAsia"/>
                <w:sz w:val="21"/>
                <w:szCs w:val="21"/>
              </w:rPr>
            </w:pPr>
            <w:r>
              <w:rPr>
                <w:rFonts w:hAnsi="宋体" w:hint="eastAsia"/>
                <w:sz w:val="21"/>
                <w:szCs w:val="21"/>
              </w:rPr>
              <w:t>上一年度复旦医院排行前十名</w:t>
            </w:r>
          </w:p>
          <w:p w:rsidR="00C4212D" w:rsidRDefault="00C4212D">
            <w:pPr>
              <w:widowControl/>
              <w:ind w:left="38" w:firstLine="28"/>
              <w:rPr>
                <w:rFonts w:hAnsi="宋体" w:hint="eastAsia"/>
                <w:sz w:val="21"/>
                <w:szCs w:val="21"/>
              </w:rPr>
            </w:pPr>
            <w:r>
              <w:rPr>
                <w:rFonts w:hAnsi="宋体" w:hint="eastAsia"/>
                <w:sz w:val="21"/>
                <w:szCs w:val="21"/>
              </w:rPr>
              <w:t>（北京协和医院、四川大学华西医院、中国人民解放军总医院、上海交通大学医学院附属瑞金医院、第四军医大学西京医院、复旦大学附属华山医院、复旦大学附属中山医院、中山大学附属第一医院、北京大学第一医院、华中科技大学同济医学院附属同济医院）</w:t>
            </w:r>
          </w:p>
        </w:tc>
        <w:tc>
          <w:tcPr>
            <w:tcW w:w="1174" w:type="pct"/>
            <w:tcBorders>
              <w:top w:val="single" w:sz="4" w:space="0" w:color="000000"/>
              <w:left w:val="single" w:sz="4" w:space="0" w:color="000000"/>
              <w:bottom w:val="single" w:sz="4" w:space="0" w:color="000000"/>
              <w:right w:val="single" w:sz="4" w:space="0" w:color="000000"/>
            </w:tcBorders>
            <w:vAlign w:val="center"/>
          </w:tcPr>
          <w:p w:rsidR="00C4212D" w:rsidRDefault="00C4212D">
            <w:pPr>
              <w:widowControl/>
              <w:jc w:val="center"/>
              <w:rPr>
                <w:rFonts w:hAnsi="宋体" w:hint="eastAsia"/>
                <w:sz w:val="21"/>
                <w:szCs w:val="21"/>
              </w:rPr>
            </w:pPr>
            <w:r>
              <w:rPr>
                <w:rFonts w:hAnsi="宋体" w:hint="eastAsia"/>
                <w:sz w:val="21"/>
                <w:szCs w:val="21"/>
              </w:rPr>
              <w:t>以销售合同为准与支付凭证</w:t>
            </w:r>
          </w:p>
          <w:p w:rsidR="00C4212D" w:rsidRDefault="00C4212D">
            <w:pPr>
              <w:widowControl/>
              <w:jc w:val="center"/>
              <w:rPr>
                <w:rFonts w:hAnsi="宋体" w:hint="eastAsia"/>
                <w:sz w:val="21"/>
                <w:szCs w:val="21"/>
              </w:rPr>
            </w:pPr>
          </w:p>
        </w:tc>
      </w:tr>
      <w:tr w:rsidR="00C4212D" w:rsidTr="00C4212D">
        <w:trPr>
          <w:trHeight w:val="4719"/>
        </w:trPr>
        <w:tc>
          <w:tcPr>
            <w:tcW w:w="231" w:type="pct"/>
            <w:tcBorders>
              <w:top w:val="single" w:sz="4" w:space="0" w:color="000000"/>
              <w:left w:val="single" w:sz="4" w:space="0" w:color="000000"/>
              <w:bottom w:val="single" w:sz="4" w:space="0" w:color="000000"/>
              <w:right w:val="single" w:sz="4" w:space="0" w:color="000000"/>
            </w:tcBorders>
            <w:tcMar>
              <w:top w:w="119" w:type="dxa"/>
              <w:left w:w="70" w:type="dxa"/>
              <w:bottom w:w="0" w:type="dxa"/>
              <w:right w:w="7" w:type="dxa"/>
            </w:tcMar>
            <w:vAlign w:val="center"/>
            <w:hideMark/>
          </w:tcPr>
          <w:p w:rsidR="00C4212D" w:rsidRDefault="00C4212D">
            <w:pPr>
              <w:widowControl/>
              <w:ind w:right="36"/>
              <w:jc w:val="center"/>
              <w:rPr>
                <w:rFonts w:hAnsi="宋体" w:hint="eastAsia"/>
                <w:sz w:val="21"/>
                <w:szCs w:val="21"/>
              </w:rPr>
            </w:pPr>
            <w:r>
              <w:rPr>
                <w:rFonts w:hAnsi="宋体" w:hint="eastAsia"/>
                <w:sz w:val="21"/>
                <w:szCs w:val="21"/>
              </w:rPr>
              <w:lastRenderedPageBreak/>
              <w:t>6</w:t>
            </w:r>
          </w:p>
        </w:tc>
        <w:tc>
          <w:tcPr>
            <w:tcW w:w="863" w:type="pct"/>
            <w:tcBorders>
              <w:top w:val="single" w:sz="4" w:space="0" w:color="000000"/>
              <w:left w:val="single" w:sz="4" w:space="0" w:color="000000"/>
              <w:bottom w:val="single" w:sz="4" w:space="0" w:color="000000"/>
              <w:right w:val="single" w:sz="4" w:space="0" w:color="000000"/>
            </w:tcBorders>
            <w:tcMar>
              <w:top w:w="119" w:type="dxa"/>
              <w:left w:w="70" w:type="dxa"/>
              <w:bottom w:w="0" w:type="dxa"/>
              <w:right w:w="7" w:type="dxa"/>
            </w:tcMar>
            <w:vAlign w:val="center"/>
            <w:hideMark/>
          </w:tcPr>
          <w:p w:rsidR="00C4212D" w:rsidRDefault="00C4212D">
            <w:pPr>
              <w:widowControl/>
              <w:ind w:left="66"/>
              <w:jc w:val="center"/>
              <w:rPr>
                <w:rFonts w:hAnsi="宋体" w:hint="eastAsia"/>
                <w:sz w:val="21"/>
                <w:szCs w:val="21"/>
              </w:rPr>
            </w:pPr>
            <w:r>
              <w:rPr>
                <w:rFonts w:hAnsi="宋体" w:hint="eastAsia"/>
                <w:sz w:val="21"/>
                <w:szCs w:val="21"/>
              </w:rPr>
              <w:t>售后服务13%</w:t>
            </w:r>
          </w:p>
        </w:tc>
        <w:tc>
          <w:tcPr>
            <w:tcW w:w="216" w:type="pct"/>
            <w:tcBorders>
              <w:top w:val="single" w:sz="4" w:space="0" w:color="000000"/>
              <w:left w:val="single" w:sz="4" w:space="0" w:color="000000"/>
              <w:bottom w:val="single" w:sz="4" w:space="0" w:color="000000"/>
              <w:right w:val="single" w:sz="4" w:space="0" w:color="000000"/>
            </w:tcBorders>
            <w:tcMar>
              <w:top w:w="119" w:type="dxa"/>
              <w:left w:w="70" w:type="dxa"/>
              <w:bottom w:w="0" w:type="dxa"/>
              <w:right w:w="7" w:type="dxa"/>
            </w:tcMar>
            <w:vAlign w:val="center"/>
            <w:hideMark/>
          </w:tcPr>
          <w:p w:rsidR="00C4212D" w:rsidRDefault="00C4212D">
            <w:pPr>
              <w:widowControl/>
              <w:jc w:val="center"/>
              <w:rPr>
                <w:rFonts w:hAnsi="宋体" w:hint="eastAsia"/>
                <w:sz w:val="21"/>
                <w:szCs w:val="21"/>
              </w:rPr>
            </w:pPr>
            <w:r>
              <w:rPr>
                <w:rFonts w:hAnsi="宋体" w:hint="eastAsia"/>
                <w:sz w:val="21"/>
                <w:szCs w:val="21"/>
              </w:rPr>
              <w:t>13</w:t>
            </w:r>
          </w:p>
        </w:tc>
        <w:tc>
          <w:tcPr>
            <w:tcW w:w="2516" w:type="pct"/>
            <w:tcBorders>
              <w:top w:val="single" w:sz="4" w:space="0" w:color="000000"/>
              <w:left w:val="single" w:sz="4" w:space="0" w:color="000000"/>
              <w:bottom w:val="single" w:sz="4" w:space="0" w:color="000000"/>
              <w:right w:val="single" w:sz="4" w:space="0" w:color="000000"/>
            </w:tcBorders>
            <w:tcMar>
              <w:top w:w="119" w:type="dxa"/>
              <w:left w:w="70" w:type="dxa"/>
              <w:bottom w:w="0" w:type="dxa"/>
              <w:right w:w="7" w:type="dxa"/>
            </w:tcMar>
            <w:vAlign w:val="center"/>
            <w:hideMark/>
          </w:tcPr>
          <w:p w:rsidR="00C4212D" w:rsidRDefault="00C4212D">
            <w:pPr>
              <w:widowControl/>
              <w:rPr>
                <w:rFonts w:hAnsi="宋体" w:hint="eastAsia"/>
                <w:sz w:val="21"/>
                <w:szCs w:val="21"/>
              </w:rPr>
            </w:pPr>
            <w:r>
              <w:rPr>
                <w:rFonts w:hAnsi="宋体" w:hint="eastAsia"/>
                <w:sz w:val="21"/>
                <w:szCs w:val="21"/>
              </w:rPr>
              <w:t>1、从投标人提供的产品制造商售后服务地点、专业的售后服务团队等方面进行综合评定：提供厂家售后服务机构驻地及人员社保等证明材料，每提供一份</w:t>
            </w:r>
            <w:proofErr w:type="gramStart"/>
            <w:r>
              <w:rPr>
                <w:rFonts w:hAnsi="宋体" w:hint="eastAsia"/>
                <w:sz w:val="21"/>
                <w:szCs w:val="21"/>
              </w:rPr>
              <w:t>社保证明</w:t>
            </w:r>
            <w:proofErr w:type="gramEnd"/>
            <w:r>
              <w:rPr>
                <w:rFonts w:hAnsi="宋体" w:hint="eastAsia"/>
                <w:sz w:val="21"/>
                <w:szCs w:val="21"/>
              </w:rPr>
              <w:t>得1分，最多得4分。（提供复印件加盖</w:t>
            </w:r>
            <w:proofErr w:type="gramStart"/>
            <w:r>
              <w:rPr>
                <w:rFonts w:hAnsi="宋体" w:hint="eastAsia"/>
                <w:sz w:val="21"/>
                <w:szCs w:val="21"/>
              </w:rPr>
              <w:t>投标人鲜章</w:t>
            </w:r>
            <w:proofErr w:type="gramEnd"/>
            <w:r>
              <w:rPr>
                <w:rFonts w:hAnsi="宋体" w:hint="eastAsia"/>
                <w:sz w:val="21"/>
                <w:szCs w:val="21"/>
              </w:rPr>
              <w:t>)</w:t>
            </w:r>
          </w:p>
          <w:p w:rsidR="00C4212D" w:rsidRDefault="00C4212D">
            <w:pPr>
              <w:widowControl/>
              <w:rPr>
                <w:rFonts w:hAnsi="宋体" w:hint="eastAsia"/>
                <w:sz w:val="21"/>
                <w:szCs w:val="21"/>
              </w:rPr>
            </w:pPr>
            <w:r>
              <w:rPr>
                <w:rFonts w:hAnsi="宋体" w:hint="eastAsia"/>
                <w:sz w:val="21"/>
                <w:szCs w:val="21"/>
              </w:rPr>
              <w:t>2、完全满足售后服务要求的得3分，优于要求且对项目整体售后服务有显著提升，每一项加1分，最高加4分。不满足招标售后服务要求的得0分。</w:t>
            </w:r>
          </w:p>
          <w:p w:rsidR="00C4212D" w:rsidRDefault="00C4212D">
            <w:pPr>
              <w:widowControl/>
              <w:rPr>
                <w:rFonts w:hAnsi="宋体" w:hint="eastAsia"/>
                <w:sz w:val="21"/>
                <w:szCs w:val="21"/>
              </w:rPr>
            </w:pPr>
            <w:r>
              <w:rPr>
                <w:rFonts w:hAnsi="宋体" w:hint="eastAsia"/>
                <w:sz w:val="21"/>
                <w:szCs w:val="21"/>
              </w:rPr>
              <w:t>3、投标人提供完善售后服务机制承诺，提供售后服务保障措施以及服务承诺，提供完善售后服务支持方案，能充分保障项目需求、人员配置以及故障处理等的响应时间、解决故障承诺的时间，提供人员培训计划、培训内容、质量保证期限及质量保证的范围承诺得6分。缺少1项或者不能满足实际使用需求每有一项扣1分，扣完为止。</w:t>
            </w:r>
          </w:p>
        </w:tc>
        <w:tc>
          <w:tcPr>
            <w:tcW w:w="1174" w:type="pct"/>
            <w:tcBorders>
              <w:top w:val="single" w:sz="4" w:space="0" w:color="000000"/>
              <w:left w:val="single" w:sz="4" w:space="0" w:color="000000"/>
              <w:bottom w:val="single" w:sz="4" w:space="0" w:color="000000"/>
              <w:right w:val="single" w:sz="4" w:space="0" w:color="000000"/>
            </w:tcBorders>
            <w:tcMar>
              <w:top w:w="119" w:type="dxa"/>
              <w:left w:w="70" w:type="dxa"/>
              <w:bottom w:w="0" w:type="dxa"/>
              <w:right w:w="7" w:type="dxa"/>
            </w:tcMar>
            <w:vAlign w:val="center"/>
            <w:hideMark/>
          </w:tcPr>
          <w:p w:rsidR="00C4212D" w:rsidRDefault="00C4212D">
            <w:pPr>
              <w:widowControl/>
              <w:jc w:val="center"/>
              <w:rPr>
                <w:rFonts w:hAnsi="宋体" w:hint="eastAsia"/>
                <w:sz w:val="21"/>
                <w:szCs w:val="21"/>
              </w:rPr>
            </w:pPr>
            <w:r>
              <w:rPr>
                <w:rFonts w:hAnsi="宋体" w:hint="eastAsia"/>
                <w:sz w:val="21"/>
                <w:szCs w:val="21"/>
              </w:rPr>
              <w:t>无售后者不得分</w:t>
            </w:r>
          </w:p>
        </w:tc>
      </w:tr>
      <w:tr w:rsidR="00C4212D" w:rsidTr="00C4212D">
        <w:trPr>
          <w:trHeight w:val="569"/>
        </w:trPr>
        <w:tc>
          <w:tcPr>
            <w:tcW w:w="231" w:type="pct"/>
            <w:tcBorders>
              <w:top w:val="single" w:sz="4" w:space="0" w:color="000000"/>
              <w:left w:val="single" w:sz="4" w:space="0" w:color="000000"/>
              <w:bottom w:val="single" w:sz="4" w:space="0" w:color="000000"/>
              <w:right w:val="single" w:sz="4" w:space="0" w:color="000000"/>
            </w:tcBorders>
            <w:tcMar>
              <w:top w:w="119" w:type="dxa"/>
              <w:left w:w="70" w:type="dxa"/>
              <w:bottom w:w="0" w:type="dxa"/>
              <w:right w:w="7" w:type="dxa"/>
            </w:tcMar>
            <w:vAlign w:val="center"/>
            <w:hideMark/>
          </w:tcPr>
          <w:p w:rsidR="00C4212D" w:rsidRDefault="00C4212D">
            <w:pPr>
              <w:widowControl/>
              <w:ind w:right="36"/>
              <w:jc w:val="center"/>
              <w:rPr>
                <w:rFonts w:hAnsi="宋体" w:hint="eastAsia"/>
                <w:sz w:val="21"/>
                <w:szCs w:val="21"/>
              </w:rPr>
            </w:pPr>
            <w:r>
              <w:rPr>
                <w:rFonts w:hAnsi="宋体" w:hint="eastAsia"/>
                <w:sz w:val="21"/>
                <w:szCs w:val="21"/>
              </w:rPr>
              <w:t>7</w:t>
            </w:r>
          </w:p>
        </w:tc>
        <w:tc>
          <w:tcPr>
            <w:tcW w:w="863" w:type="pct"/>
            <w:tcBorders>
              <w:top w:val="single" w:sz="4" w:space="0" w:color="000000"/>
              <w:left w:val="single" w:sz="4" w:space="0" w:color="000000"/>
              <w:bottom w:val="single" w:sz="4" w:space="0" w:color="000000"/>
              <w:right w:val="single" w:sz="4" w:space="0" w:color="000000"/>
            </w:tcBorders>
            <w:tcMar>
              <w:top w:w="119" w:type="dxa"/>
              <w:left w:w="70" w:type="dxa"/>
              <w:bottom w:w="0" w:type="dxa"/>
              <w:right w:w="7" w:type="dxa"/>
            </w:tcMar>
            <w:vAlign w:val="center"/>
            <w:hideMark/>
          </w:tcPr>
          <w:p w:rsidR="00C4212D" w:rsidRDefault="00C4212D">
            <w:pPr>
              <w:widowControl/>
              <w:ind w:left="114"/>
              <w:jc w:val="center"/>
              <w:rPr>
                <w:rFonts w:hAnsi="宋体" w:hint="eastAsia"/>
                <w:sz w:val="21"/>
                <w:szCs w:val="21"/>
              </w:rPr>
            </w:pPr>
            <w:r>
              <w:rPr>
                <w:rFonts w:hAnsi="宋体" w:hint="eastAsia"/>
                <w:sz w:val="21"/>
                <w:szCs w:val="21"/>
              </w:rPr>
              <w:t>投标文件的规范性2%</w:t>
            </w:r>
          </w:p>
        </w:tc>
        <w:tc>
          <w:tcPr>
            <w:tcW w:w="216" w:type="pct"/>
            <w:tcBorders>
              <w:top w:val="single" w:sz="4" w:space="0" w:color="000000"/>
              <w:left w:val="single" w:sz="4" w:space="0" w:color="000000"/>
              <w:bottom w:val="single" w:sz="4" w:space="0" w:color="000000"/>
              <w:right w:val="single" w:sz="4" w:space="0" w:color="000000"/>
            </w:tcBorders>
            <w:tcMar>
              <w:top w:w="119" w:type="dxa"/>
              <w:left w:w="70" w:type="dxa"/>
              <w:bottom w:w="0" w:type="dxa"/>
              <w:right w:w="7" w:type="dxa"/>
            </w:tcMar>
            <w:vAlign w:val="center"/>
            <w:hideMark/>
          </w:tcPr>
          <w:p w:rsidR="00C4212D" w:rsidRDefault="00C4212D">
            <w:pPr>
              <w:widowControl/>
              <w:ind w:right="36"/>
              <w:jc w:val="center"/>
              <w:rPr>
                <w:rFonts w:hAnsi="宋体" w:hint="eastAsia"/>
                <w:sz w:val="21"/>
                <w:szCs w:val="21"/>
              </w:rPr>
            </w:pPr>
            <w:r>
              <w:rPr>
                <w:rFonts w:hAnsi="宋体" w:hint="eastAsia"/>
                <w:sz w:val="21"/>
                <w:szCs w:val="21"/>
              </w:rPr>
              <w:t>2</w:t>
            </w:r>
          </w:p>
        </w:tc>
        <w:tc>
          <w:tcPr>
            <w:tcW w:w="2516" w:type="pct"/>
            <w:tcBorders>
              <w:top w:val="single" w:sz="4" w:space="0" w:color="000000"/>
              <w:left w:val="single" w:sz="4" w:space="0" w:color="000000"/>
              <w:bottom w:val="single" w:sz="4" w:space="0" w:color="000000"/>
              <w:right w:val="single" w:sz="4" w:space="0" w:color="000000"/>
            </w:tcBorders>
            <w:tcMar>
              <w:top w:w="119" w:type="dxa"/>
              <w:left w:w="70" w:type="dxa"/>
              <w:bottom w:w="0" w:type="dxa"/>
              <w:right w:w="7" w:type="dxa"/>
            </w:tcMar>
            <w:vAlign w:val="center"/>
            <w:hideMark/>
          </w:tcPr>
          <w:p w:rsidR="00C4212D" w:rsidRDefault="00C4212D">
            <w:pPr>
              <w:widowControl/>
              <w:ind w:left="38" w:firstLine="28"/>
              <w:rPr>
                <w:rFonts w:hAnsi="宋体" w:hint="eastAsia"/>
                <w:sz w:val="21"/>
                <w:szCs w:val="21"/>
              </w:rPr>
            </w:pPr>
            <w:r>
              <w:rPr>
                <w:rFonts w:hAnsi="宋体" w:hint="eastAsia"/>
                <w:sz w:val="21"/>
                <w:szCs w:val="21"/>
              </w:rPr>
              <w:t>投标文件制作规范，没有细微偏差情形的得2分；有一项细微偏差扣 0.5 分，直至该项分值扣完为止。</w:t>
            </w:r>
          </w:p>
        </w:tc>
        <w:tc>
          <w:tcPr>
            <w:tcW w:w="1174" w:type="pct"/>
            <w:tcBorders>
              <w:top w:val="single" w:sz="4" w:space="0" w:color="000000"/>
              <w:left w:val="single" w:sz="4" w:space="0" w:color="000000"/>
              <w:bottom w:val="single" w:sz="4" w:space="0" w:color="000000"/>
              <w:right w:val="single" w:sz="4" w:space="0" w:color="000000"/>
            </w:tcBorders>
            <w:tcMar>
              <w:top w:w="119" w:type="dxa"/>
              <w:left w:w="70" w:type="dxa"/>
              <w:bottom w:w="0" w:type="dxa"/>
              <w:right w:w="7" w:type="dxa"/>
            </w:tcMar>
            <w:vAlign w:val="center"/>
          </w:tcPr>
          <w:p w:rsidR="00C4212D" w:rsidRDefault="00C4212D">
            <w:pPr>
              <w:widowControl/>
              <w:jc w:val="center"/>
              <w:rPr>
                <w:rFonts w:hAnsi="宋体" w:hint="eastAsia"/>
                <w:sz w:val="21"/>
                <w:szCs w:val="21"/>
              </w:rPr>
            </w:pPr>
          </w:p>
        </w:tc>
      </w:tr>
    </w:tbl>
    <w:p w:rsidR="00C4212D" w:rsidRPr="00C4212D" w:rsidRDefault="00C4212D">
      <w:bookmarkStart w:id="0" w:name="_GoBack"/>
      <w:bookmarkEnd w:id="0"/>
    </w:p>
    <w:sectPr w:rsidR="00C4212D" w:rsidRPr="00C42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2D"/>
    <w:rsid w:val="00C42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425CD-061A-4E61-ACC9-6B934CC8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12D"/>
    <w:pPr>
      <w:widowControl w:val="0"/>
      <w:jc w:val="both"/>
    </w:pPr>
    <w:rPr>
      <w:rFonts w:ascii="宋体" w:eastAsia="宋体" w:hAnsi="Arial"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
    <w:qFormat/>
    <w:rsid w:val="00C4212D"/>
    <w:pPr>
      <w:keepNext/>
      <w:keepLines/>
      <w:numPr>
        <w:ilvl w:val="4"/>
        <w:numId w:val="2"/>
      </w:numPr>
      <w:spacing w:before="280" w:after="156" w:line="376" w:lineRule="auto"/>
      <w:jc w:val="left"/>
      <w:outlineLvl w:val="4"/>
    </w:pPr>
    <w:rPr>
      <w:rFonts w:ascii="Arial" w:eastAsia="黑体" w:cs="黑体"/>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4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an</dc:creator>
  <cp:keywords/>
  <dc:description/>
  <cp:lastModifiedBy>xue an</cp:lastModifiedBy>
  <cp:revision>1</cp:revision>
  <dcterms:created xsi:type="dcterms:W3CDTF">2019-08-16T01:07:00Z</dcterms:created>
  <dcterms:modified xsi:type="dcterms:W3CDTF">2019-08-16T01:07:00Z</dcterms:modified>
</cp:coreProperties>
</file>